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F9B56" w14:textId="77054C77" w:rsidR="003678A3" w:rsidRPr="00671396" w:rsidRDefault="003678A3" w:rsidP="003678A3">
      <w:pPr>
        <w:pStyle w:val="CH"/>
        <w:rPr>
          <w:lang w:val="en-US"/>
        </w:rPr>
      </w:pPr>
      <w:bookmarkStart w:id="0" w:name="historyclause"/>
      <w:r w:rsidRPr="00671396">
        <w:rPr>
          <w:lang w:val="en-US"/>
        </w:rPr>
        <w:t>3GPP RAN WG4 Meeting #98</w:t>
      </w:r>
      <w:r w:rsidR="00E02DA6">
        <w:rPr>
          <w:lang w:val="en-US"/>
        </w:rPr>
        <w:t>-</w:t>
      </w:r>
      <w:r w:rsidRPr="00671396">
        <w:rPr>
          <w:lang w:val="en-US"/>
        </w:rPr>
        <w:t>e</w:t>
      </w:r>
      <w:r w:rsidRPr="00671396">
        <w:rPr>
          <w:lang w:val="en-US"/>
        </w:rPr>
        <w:tab/>
      </w:r>
      <w:r w:rsidRPr="00671396">
        <w:rPr>
          <w:lang w:val="en-US"/>
        </w:rPr>
        <w:tab/>
      </w:r>
      <w:r w:rsidR="000A5CEA" w:rsidRPr="000A5CEA">
        <w:rPr>
          <w:lang w:val="en-US"/>
        </w:rPr>
        <w:t>R4-2100515</w:t>
      </w:r>
    </w:p>
    <w:p w14:paraId="50DC9730" w14:textId="7B9C1E8E" w:rsidR="00D309CC" w:rsidRPr="00FD166F" w:rsidRDefault="003678A3" w:rsidP="003678A3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B22F4">
        <w:t xml:space="preserve">, </w:t>
      </w:r>
      <w:r>
        <w:t>25</w:t>
      </w:r>
      <w:r w:rsidR="00514815">
        <w:t>th</w:t>
      </w:r>
      <w:r>
        <w:t xml:space="preserve"> January</w:t>
      </w:r>
      <w:r w:rsidRPr="00EB22F4">
        <w:t xml:space="preserve"> –</w:t>
      </w:r>
      <w:r>
        <w:t xml:space="preserve"> 05</w:t>
      </w:r>
      <w:r w:rsidR="00514815">
        <w:t>th</w:t>
      </w:r>
      <w:r>
        <w:t xml:space="preserve"> February</w:t>
      </w:r>
      <w:r w:rsidRPr="00EB22F4">
        <w:t xml:space="preserve"> 20</w:t>
      </w:r>
      <w:r>
        <w:t>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226674F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A5CEA" w:rsidRPr="000A5CEA">
        <w:t>9.34.1</w:t>
      </w:r>
    </w:p>
    <w:p w14:paraId="4DBE005A" w14:textId="276FF6EE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0B4192B5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561D97">
        <w:t>Considerations for PC1.5 with n77 and n78</w:t>
      </w:r>
    </w:p>
    <w:p w14:paraId="052B1E0C" w14:textId="0299A910" w:rsidR="00104BC6" w:rsidRPr="000A5CEA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0A5CEA" w:rsidRPr="000A5CEA">
        <w:t>HPUE_PC1_5_n77_n78-Core</w:t>
      </w:r>
    </w:p>
    <w:p w14:paraId="6C6D1281" w14:textId="7F9E2E9C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B62D92">
        <w:t>7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096D1FB5" w:rsidR="00C72CC0" w:rsidRDefault="005E5C88" w:rsidP="00C72CC0">
      <w:r>
        <w:t>A new WID</w:t>
      </w:r>
      <w:r w:rsidR="00730F73">
        <w:t xml:space="preserve"> [1]</w:t>
      </w:r>
      <w:r>
        <w:t xml:space="preserve"> has been approved with the </w:t>
      </w:r>
      <w:r w:rsidR="00FA24D2">
        <w:t>goal</w:t>
      </w:r>
      <w:r>
        <w:t xml:space="preserve"> of introducing PC1.5 to n77 and n78</w:t>
      </w:r>
      <w:r w:rsidR="00745434">
        <w:t xml:space="preserve"> for </w:t>
      </w:r>
      <w:r w:rsidR="00C77A30">
        <w:t>mobile</w:t>
      </w:r>
      <w:r w:rsidR="00745434">
        <w:t xml:space="preserve"> devices and also for fixed wireless access</w:t>
      </w:r>
      <w:r>
        <w:t>. The</w:t>
      </w:r>
      <w:r w:rsidR="00730F73">
        <w:t xml:space="preserve"> general goal is to improve TDD cell coverage range. The inter side distance shall be similar to cells operation on lower frequency bands.</w:t>
      </w:r>
      <w:r w:rsidR="00415134">
        <w:t xml:space="preserve"> This paper discusses some aspects for mobile devices.</w:t>
      </w:r>
    </w:p>
    <w:p w14:paraId="5C2E2970" w14:textId="77777777" w:rsidR="00807D88" w:rsidRDefault="00807D88" w:rsidP="00C72CC0"/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13A000F8" w14:textId="1FA5700C" w:rsidR="00A22D17" w:rsidRDefault="00777909" w:rsidP="00A22D17">
      <w:pPr>
        <w:jc w:val="both"/>
      </w:pPr>
      <w:r>
        <w:t>For</w:t>
      </w:r>
      <w:r w:rsidR="00F852FA">
        <w:t xml:space="preserve"> mobile devices t</w:t>
      </w:r>
      <w:r w:rsidR="000B350B">
        <w:t>he main the objective</w:t>
      </w:r>
      <w:r>
        <w:t xml:space="preserve"> of the WI</w:t>
      </w:r>
      <w:r w:rsidR="000B350B">
        <w:t xml:space="preserve"> is to introduce PC1.5 to n77 and n78</w:t>
      </w:r>
      <w:r w:rsidR="00F852FA">
        <w:t xml:space="preserve">. </w:t>
      </w:r>
      <w:r w:rsidR="00C77C78">
        <w:t xml:space="preserve">The current state </w:t>
      </w:r>
      <w:r w:rsidR="00C37413">
        <w:t>of</w:t>
      </w:r>
      <w:r w:rsidR="00C77C78">
        <w:t xml:space="preserve"> mobile </w:t>
      </w:r>
      <w:r w:rsidR="002B5C4E">
        <w:t>device</w:t>
      </w:r>
      <w:r w:rsidR="00C37413">
        <w:t>s</w:t>
      </w:r>
      <w:r w:rsidR="00C77C78">
        <w:t xml:space="preserve"> is that they are either equipped with </w:t>
      </w:r>
      <w:r w:rsidR="00FA24D2">
        <w:t>power amplifier</w:t>
      </w:r>
      <w:r w:rsidR="00C77C78">
        <w:t xml:space="preserve">s capable of 23dBm or 26dBm output power. There is no 29dBm </w:t>
      </w:r>
      <w:r w:rsidR="002B5C4E">
        <w:t>power amplifier</w:t>
      </w:r>
      <w:r w:rsidR="00C77C78">
        <w:t xml:space="preserve"> in mobile </w:t>
      </w:r>
      <w:r w:rsidR="009F4186">
        <w:t>devices</w:t>
      </w:r>
      <w:r w:rsidR="00C77C78">
        <w:t xml:space="preserve"> yet. Therefore </w:t>
      </w:r>
      <w:r w:rsidR="00A22D17">
        <w:t xml:space="preserve">PC1.5 was defined </w:t>
      </w:r>
      <w:r w:rsidR="00C77C78">
        <w:t>with dual Tx operation</w:t>
      </w:r>
      <w:r w:rsidR="00FA24D2">
        <w:t xml:space="preserve"> </w:t>
      </w:r>
      <w:r w:rsidR="00C77C78">
        <w:t>in mind.</w:t>
      </w:r>
      <w:r w:rsidR="00311013">
        <w:t xml:space="preserve"> The primary </w:t>
      </w:r>
      <w:r w:rsidR="00C37413">
        <w:t>use</w:t>
      </w:r>
      <w:r w:rsidR="00311013">
        <w:t xml:space="preserve"> case for PC1.5 is single and dual layer UL-MIMO. </w:t>
      </w:r>
      <w:r>
        <w:t xml:space="preserve"> Dual Tx operation allows</w:t>
      </w:r>
      <w:r w:rsidR="00ED6AD4">
        <w:t xml:space="preserve"> to</w:t>
      </w:r>
      <w:r>
        <w:t xml:space="preserve"> transmit two signals on two separate antennas and combine the power over the air.</w:t>
      </w:r>
      <w:r w:rsidR="00311013">
        <w:t xml:space="preserve"> </w:t>
      </w:r>
      <w:r w:rsidR="0034422B">
        <w:t>This advantage is partly compensated by the finite coupling of both antennas</w:t>
      </w:r>
      <w:r w:rsidR="00ED6AD4">
        <w:t xml:space="preserve"> causing</w:t>
      </w:r>
      <w:r w:rsidR="0034422B">
        <w:t xml:space="preserve"> </w:t>
      </w:r>
      <w:r w:rsidR="00ED6AD4">
        <w:t>some</w:t>
      </w:r>
      <w:r w:rsidR="0034422B">
        <w:t xml:space="preserve"> </w:t>
      </w:r>
      <w:r w:rsidR="00ED6AD4">
        <w:t>power</w:t>
      </w:r>
      <w:r w:rsidR="0034422B">
        <w:t xml:space="preserve"> </w:t>
      </w:r>
      <w:r w:rsidR="00ED6AD4">
        <w:t xml:space="preserve">to </w:t>
      </w:r>
      <w:r w:rsidR="00D8519E">
        <w:t>leak</w:t>
      </w:r>
      <w:r w:rsidR="0034422B">
        <w:t xml:space="preserve"> from one antenna to the other</w:t>
      </w:r>
      <w:r w:rsidR="00ED6AD4">
        <w:t xml:space="preserve">. The power flowing in reverse direction </w:t>
      </w:r>
      <w:r w:rsidR="00311013">
        <w:t>of a Tx chain</w:t>
      </w:r>
      <w:r w:rsidR="0034422B">
        <w:t xml:space="preserve"> </w:t>
      </w:r>
      <w:r w:rsidR="00ED6AD4">
        <w:t xml:space="preserve">causes considerable R-IMDs which in turn </w:t>
      </w:r>
      <w:r w:rsidR="0034422B">
        <w:t>require</w:t>
      </w:r>
      <w:r w:rsidR="00311013">
        <w:t>s</w:t>
      </w:r>
      <w:r w:rsidR="0034422B">
        <w:t xml:space="preserve"> higher power </w:t>
      </w:r>
      <w:proofErr w:type="spellStart"/>
      <w:r w:rsidR="0034422B">
        <w:t>backoff</w:t>
      </w:r>
      <w:proofErr w:type="spellEnd"/>
      <w:r w:rsidR="00ED6AD4">
        <w:t xml:space="preserve"> to comply with emission requirements.</w:t>
      </w:r>
    </w:p>
    <w:p w14:paraId="110DCAC7" w14:textId="669E75A5" w:rsidR="00E562D5" w:rsidRDefault="00A22D17" w:rsidP="00A22D17">
      <w:pPr>
        <w:jc w:val="both"/>
      </w:pPr>
      <w:r w:rsidRPr="00A22D17">
        <w:rPr>
          <w:b/>
          <w:bCs/>
        </w:rPr>
        <w:t>Observation</w:t>
      </w:r>
      <w:r w:rsidR="00E6069D">
        <w:rPr>
          <w:b/>
          <w:bCs/>
        </w:rPr>
        <w:t xml:space="preserve"> 1</w:t>
      </w:r>
      <w:r w:rsidRPr="00A22D17">
        <w:rPr>
          <w:b/>
          <w:bCs/>
        </w:rPr>
        <w:t>:</w:t>
      </w:r>
      <w:r>
        <w:t xml:space="preserve"> PC1.5 is achieved via dual Tx chains as there is no 29dBm </w:t>
      </w:r>
      <w:r w:rsidR="00FA24D2">
        <w:t>power amplifier</w:t>
      </w:r>
      <w:r>
        <w:t xml:space="preserve"> </w:t>
      </w:r>
      <w:r w:rsidR="00F44E4C">
        <w:t>deployed in UEs</w:t>
      </w:r>
      <w:r w:rsidR="0046489B">
        <w:t xml:space="preserve"> </w:t>
      </w:r>
      <w:r>
        <w:t xml:space="preserve">and requires higher power </w:t>
      </w:r>
      <w:proofErr w:type="spellStart"/>
      <w:r>
        <w:t>backoff</w:t>
      </w:r>
      <w:proofErr w:type="spellEnd"/>
      <w:r>
        <w:t xml:space="preserve"> compared to single Tx </w:t>
      </w:r>
      <w:r w:rsidR="00B162FF">
        <w:t>operation</w:t>
      </w:r>
      <w:r>
        <w:t>.</w:t>
      </w:r>
    </w:p>
    <w:p w14:paraId="02542F8C" w14:textId="51D36B54" w:rsidR="00E6069D" w:rsidRDefault="00E6069D" w:rsidP="00A22D17">
      <w:pPr>
        <w:jc w:val="both"/>
      </w:pPr>
      <w:r w:rsidRPr="00E6069D">
        <w:rPr>
          <w:b/>
          <w:bCs/>
        </w:rPr>
        <w:t>Observation</w:t>
      </w:r>
      <w:r>
        <w:rPr>
          <w:b/>
          <w:bCs/>
        </w:rPr>
        <w:t xml:space="preserve"> 2</w:t>
      </w:r>
      <w:r w:rsidRPr="00E6069D">
        <w:rPr>
          <w:b/>
          <w:bCs/>
        </w:rPr>
        <w:t>:</w:t>
      </w:r>
      <w:r>
        <w:t xml:space="preserve">  PC1.5 MPR was developed for single and dual layer UL-MIMO operation</w:t>
      </w:r>
      <w:r w:rsidR="00E562D5">
        <w:t xml:space="preserve"> but not for </w:t>
      </w:r>
      <w:proofErr w:type="spellStart"/>
      <w:r w:rsidR="00E562D5">
        <w:t>TxD</w:t>
      </w:r>
      <w:proofErr w:type="spellEnd"/>
      <w:r w:rsidR="00E562D5">
        <w:t>.</w:t>
      </w:r>
    </w:p>
    <w:p w14:paraId="36C94F95" w14:textId="5EF4284B" w:rsidR="00C21FD8" w:rsidRDefault="00C21FD8" w:rsidP="00A22D17">
      <w:pPr>
        <w:jc w:val="both"/>
      </w:pPr>
      <w:r w:rsidRPr="00C21FD8">
        <w:rPr>
          <w:b/>
          <w:bCs/>
        </w:rPr>
        <w:t>Proposal 1:</w:t>
      </w:r>
      <w:r>
        <w:t xml:space="preserve"> PC1.5 should not be used for </w:t>
      </w:r>
      <w:proofErr w:type="spellStart"/>
      <w:r>
        <w:t>TxD</w:t>
      </w:r>
      <w:proofErr w:type="spellEnd"/>
      <w:r>
        <w:t xml:space="preserve"> as the discussion is not finished</w:t>
      </w:r>
      <w:r w:rsidR="00BD4E0C">
        <w:t xml:space="preserve"> in RAN4</w:t>
      </w:r>
      <w:r>
        <w:t xml:space="preserve">. </w:t>
      </w:r>
      <w:r w:rsidR="00BD4E0C">
        <w:t xml:space="preserve">Support for </w:t>
      </w:r>
      <w:proofErr w:type="spellStart"/>
      <w:r w:rsidR="00BD4E0C">
        <w:t>TxD</w:t>
      </w:r>
      <w:proofErr w:type="spellEnd"/>
      <w:r>
        <w:t xml:space="preserve"> can be added later if required.</w:t>
      </w:r>
    </w:p>
    <w:p w14:paraId="2918D8AB" w14:textId="294C5A8D" w:rsidR="00F852FA" w:rsidRPr="00580C3D" w:rsidRDefault="0046489B" w:rsidP="00A22D17">
      <w:pPr>
        <w:jc w:val="both"/>
      </w:pPr>
      <w:r>
        <w:t>The WID states that n</w:t>
      </w:r>
      <w:r w:rsidR="00F852FA">
        <w:t xml:space="preserve">ew requirements shall be defined especially for MPR and A-MPR. </w:t>
      </w:r>
      <w:r>
        <w:t xml:space="preserve">Furthermore </w:t>
      </w:r>
      <w:r w:rsidR="00F852FA">
        <w:t xml:space="preserve">A-MPR/MPR improvement is one of the goals. Therefore, we would like to take the opportunity to recap the assumptions used to derive power </w:t>
      </w:r>
      <w:proofErr w:type="spellStart"/>
      <w:r w:rsidR="00F852FA">
        <w:t>backoff</w:t>
      </w:r>
      <w:proofErr w:type="spellEnd"/>
      <w:r w:rsidR="00F852FA">
        <w:t xml:space="preserve"> for PC1.5.</w:t>
      </w:r>
      <w:r w:rsidR="00A22D17">
        <w:t xml:space="preserve"> </w:t>
      </w:r>
      <w:r w:rsidR="00F852FA">
        <w:t>The main</w:t>
      </w:r>
      <w:r w:rsidR="002A493E">
        <w:t xml:space="preserve"> measurement</w:t>
      </w:r>
      <w:r w:rsidR="00F852FA">
        <w:t xml:space="preserve"> assumptions</w:t>
      </w:r>
      <w:r w:rsidR="002A493E">
        <w:t xml:space="preserve"> suitable for n77 and n78</w:t>
      </w:r>
      <w:r w:rsidR="00F852FA">
        <w:t xml:space="preserve"> </w:t>
      </w:r>
      <w:r w:rsidR="00F960C2">
        <w:t>are</w:t>
      </w:r>
      <w:r w:rsidR="002A493E">
        <w:t>:</w:t>
      </w:r>
    </w:p>
    <w:p w14:paraId="0E41B0AC" w14:textId="1AE71A62" w:rsidR="002F005D" w:rsidRDefault="002F005D" w:rsidP="00A22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 w:rsidRPr="002F005D">
        <w:rPr>
          <w:lang w:eastAsia="ja-JP" w:bidi="hi-IN"/>
        </w:rPr>
        <w:t>Post PA loss of 4 dB</w:t>
      </w:r>
    </w:p>
    <w:p w14:paraId="2E3AAA04" w14:textId="0E848DD4" w:rsidR="002F005D" w:rsidRDefault="002F005D" w:rsidP="00A22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 w:rsidRPr="002F005D">
        <w:rPr>
          <w:lang w:eastAsia="ja-JP" w:bidi="hi-IN"/>
        </w:rPr>
        <w:t>Antenna isolations of 10 dB</w:t>
      </w:r>
    </w:p>
    <w:p w14:paraId="182AEA5C" w14:textId="3A3E7C3E" w:rsidR="002F005D" w:rsidRDefault="00F852FA" w:rsidP="00A22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>
        <w:rPr>
          <w:lang w:eastAsia="ja-JP" w:bidi="hi-IN"/>
        </w:rPr>
        <w:t xml:space="preserve">Both PAs are </w:t>
      </w:r>
      <w:r w:rsidR="002F005D" w:rsidRPr="00E1605E">
        <w:rPr>
          <w:lang w:eastAsia="ja-JP" w:bidi="hi-IN"/>
        </w:rPr>
        <w:t>Power Class 2</w:t>
      </w:r>
      <w:r w:rsidR="00474AAB">
        <w:rPr>
          <w:lang w:eastAsia="ja-JP" w:bidi="hi-IN"/>
        </w:rPr>
        <w:t xml:space="preserve"> (26dBm)</w:t>
      </w:r>
      <w:r w:rsidR="002F005D" w:rsidRPr="00E1605E">
        <w:rPr>
          <w:lang w:eastAsia="ja-JP" w:bidi="hi-IN"/>
        </w:rPr>
        <w:t xml:space="preserve"> Tx chains</w:t>
      </w:r>
      <w:r w:rsidR="002F005D">
        <w:rPr>
          <w:lang w:eastAsia="ja-JP" w:bidi="hi-IN"/>
        </w:rPr>
        <w:t xml:space="preserve"> </w:t>
      </w:r>
    </w:p>
    <w:p w14:paraId="7CF5601C" w14:textId="27B0AFBB" w:rsidR="00F960C2" w:rsidRPr="00F960C2" w:rsidRDefault="00F960C2" w:rsidP="00A22D1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>
        <w:rPr>
          <w:lang w:eastAsia="ja-JP" w:bidi="hi-IN"/>
        </w:rPr>
        <w:t xml:space="preserve">Those are the typical assumptions for mobile </w:t>
      </w:r>
      <w:r w:rsidR="002B5C4E">
        <w:rPr>
          <w:lang w:eastAsia="ja-JP" w:bidi="hi-IN"/>
        </w:rPr>
        <w:t>device</w:t>
      </w:r>
      <w:r w:rsidR="00333929">
        <w:rPr>
          <w:lang w:eastAsia="ja-JP" w:bidi="hi-IN"/>
        </w:rPr>
        <w:t>s</w:t>
      </w:r>
      <w:r w:rsidR="002B5C4E">
        <w:rPr>
          <w:lang w:eastAsia="ja-JP" w:bidi="hi-IN"/>
        </w:rPr>
        <w:t xml:space="preserve"> </w:t>
      </w:r>
      <w:r>
        <w:rPr>
          <w:lang w:eastAsia="ja-JP" w:bidi="hi-IN"/>
        </w:rPr>
        <w:t>and the assumptions for FWA operation could differ of course.</w:t>
      </w:r>
      <w:r w:rsidR="00F50F0D">
        <w:rPr>
          <w:lang w:eastAsia="ja-JP" w:bidi="hi-IN"/>
        </w:rPr>
        <w:t xml:space="preserve"> The antenna isolation assumption should stay at 10dB as the isolation from n41 to n77 is not considered to be fundamentally different. Especially, as UEs might us</w:t>
      </w:r>
      <w:r w:rsidR="00DD7CE4">
        <w:rPr>
          <w:lang w:eastAsia="ja-JP" w:bidi="hi-IN"/>
        </w:rPr>
        <w:t>e</w:t>
      </w:r>
      <w:r w:rsidR="00F50F0D">
        <w:rPr>
          <w:lang w:eastAsia="ja-JP" w:bidi="hi-IN"/>
        </w:rPr>
        <w:t xml:space="preserve"> dedicated antennas for n77 and n78 range which could be located closer together and therefore reducing antenna isolation.</w:t>
      </w:r>
    </w:p>
    <w:p w14:paraId="6FE9C18A" w14:textId="24D2E389" w:rsidR="002A493E" w:rsidRDefault="002A493E" w:rsidP="00A22D1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 w:rsidRPr="00E27B6E">
        <w:rPr>
          <w:b/>
          <w:bCs/>
          <w:lang w:eastAsia="ja-JP" w:bidi="hi-IN"/>
        </w:rPr>
        <w:t>Proposal</w:t>
      </w:r>
      <w:r w:rsidR="00BE7E14">
        <w:rPr>
          <w:b/>
          <w:bCs/>
          <w:lang w:eastAsia="ja-JP" w:bidi="hi-IN"/>
        </w:rPr>
        <w:t xml:space="preserve"> 2</w:t>
      </w:r>
      <w:r w:rsidRPr="00E27B6E">
        <w:rPr>
          <w:b/>
          <w:bCs/>
          <w:lang w:eastAsia="ja-JP" w:bidi="hi-IN"/>
        </w:rPr>
        <w:t>:</w:t>
      </w:r>
      <w:r>
        <w:rPr>
          <w:lang w:eastAsia="ja-JP" w:bidi="hi-IN"/>
        </w:rPr>
        <w:t xml:space="preserve"> If improvements for power </w:t>
      </w:r>
      <w:proofErr w:type="spellStart"/>
      <w:r>
        <w:rPr>
          <w:lang w:eastAsia="ja-JP" w:bidi="hi-IN"/>
        </w:rPr>
        <w:t>backoff</w:t>
      </w:r>
      <w:proofErr w:type="spellEnd"/>
      <w:r>
        <w:rPr>
          <w:lang w:eastAsia="ja-JP" w:bidi="hi-IN"/>
        </w:rPr>
        <w:t xml:space="preserve"> are considered for n77 and n78 then the relevant measurement assumptions (</w:t>
      </w:r>
      <w:r w:rsidRPr="002F005D">
        <w:rPr>
          <w:lang w:eastAsia="ja-JP" w:bidi="hi-IN"/>
        </w:rPr>
        <w:t>Antenna isolations of 10 dB</w:t>
      </w:r>
      <w:r>
        <w:rPr>
          <w:lang w:eastAsia="ja-JP" w:bidi="hi-IN"/>
        </w:rPr>
        <w:t xml:space="preserve">, </w:t>
      </w:r>
      <w:r w:rsidRPr="002F005D">
        <w:rPr>
          <w:lang w:eastAsia="ja-JP" w:bidi="hi-IN"/>
        </w:rPr>
        <w:t>4 dB</w:t>
      </w:r>
      <w:r>
        <w:rPr>
          <w:lang w:eastAsia="ja-JP" w:bidi="hi-IN"/>
        </w:rPr>
        <w:t xml:space="preserve"> post PA loss and 26dBm Tx chains) shall be reused</w:t>
      </w:r>
      <w:r w:rsidR="001E06B7">
        <w:rPr>
          <w:lang w:eastAsia="ja-JP" w:bidi="hi-IN"/>
        </w:rPr>
        <w:t xml:space="preserve"> to obtain reliable results.</w:t>
      </w:r>
    </w:p>
    <w:p w14:paraId="1979829A" w14:textId="77777777" w:rsidR="00580C3D" w:rsidRPr="007C7952" w:rsidRDefault="00580C3D" w:rsidP="00E6069D">
      <w:pPr>
        <w:pStyle w:val="Proposal"/>
        <w:ind w:left="0" w:firstLine="0"/>
      </w:pPr>
    </w:p>
    <w:p w14:paraId="34C99636" w14:textId="553B2D88" w:rsidR="008E7986" w:rsidRDefault="00A84761" w:rsidP="008E7986">
      <w:pPr>
        <w:pStyle w:val="Heading1"/>
      </w:pPr>
      <w:r>
        <w:lastRenderedPageBreak/>
        <w:t>4</w:t>
      </w:r>
      <w:r w:rsidR="008E7986">
        <w:tab/>
        <w:t>Conclusions</w:t>
      </w:r>
    </w:p>
    <w:p w14:paraId="3A8F2B92" w14:textId="774E4ABA" w:rsidR="00734206" w:rsidRPr="00734206" w:rsidRDefault="00734206" w:rsidP="002E07CC">
      <w:r>
        <w:t xml:space="preserve">In this contribution we </w:t>
      </w:r>
      <w:r w:rsidR="00807D88">
        <w:t xml:space="preserve">presented our consideration on the introduction of PC1.5 to n77 and n78. </w:t>
      </w:r>
    </w:p>
    <w:p w14:paraId="639834E7" w14:textId="77777777" w:rsidR="000F066E" w:rsidRDefault="000F066E" w:rsidP="000F066E">
      <w:pPr>
        <w:jc w:val="both"/>
      </w:pPr>
      <w:r w:rsidRPr="00A22D17">
        <w:rPr>
          <w:b/>
          <w:bCs/>
        </w:rPr>
        <w:t>Observation</w:t>
      </w:r>
      <w:r>
        <w:rPr>
          <w:b/>
          <w:bCs/>
        </w:rPr>
        <w:t xml:space="preserve"> 1</w:t>
      </w:r>
      <w:r w:rsidRPr="00A22D17">
        <w:rPr>
          <w:b/>
          <w:bCs/>
        </w:rPr>
        <w:t>:</w:t>
      </w:r>
      <w:r>
        <w:t xml:space="preserve"> PC1.5 is achieved via dual Tx chains as there is no 29dBm power amplifier deployed in UEs and requires higher power </w:t>
      </w:r>
      <w:proofErr w:type="spellStart"/>
      <w:r>
        <w:t>backoff</w:t>
      </w:r>
      <w:proofErr w:type="spellEnd"/>
      <w:r>
        <w:t xml:space="preserve"> compared to single Tx operation.</w:t>
      </w:r>
    </w:p>
    <w:p w14:paraId="10F82196" w14:textId="77777777" w:rsidR="005D1D1A" w:rsidRDefault="005D1D1A" w:rsidP="005D1D1A">
      <w:pPr>
        <w:jc w:val="both"/>
      </w:pPr>
      <w:r w:rsidRPr="00E6069D">
        <w:rPr>
          <w:b/>
          <w:bCs/>
        </w:rPr>
        <w:t>Observation</w:t>
      </w:r>
      <w:r>
        <w:rPr>
          <w:b/>
          <w:bCs/>
        </w:rPr>
        <w:t xml:space="preserve"> 2</w:t>
      </w:r>
      <w:r w:rsidRPr="00E6069D">
        <w:rPr>
          <w:b/>
          <w:bCs/>
        </w:rPr>
        <w:t>:</w:t>
      </w:r>
      <w:r>
        <w:t xml:space="preserve">  PC1.5 MPR was developed for single and dual layer UL-MIMO operation but not for </w:t>
      </w:r>
      <w:proofErr w:type="spellStart"/>
      <w:r>
        <w:t>TxD</w:t>
      </w:r>
      <w:proofErr w:type="spellEnd"/>
      <w:r>
        <w:t>.</w:t>
      </w:r>
    </w:p>
    <w:p w14:paraId="1A2D371C" w14:textId="77777777" w:rsidR="005D1D1A" w:rsidRDefault="005D1D1A" w:rsidP="005D1D1A">
      <w:pPr>
        <w:jc w:val="both"/>
      </w:pPr>
      <w:r w:rsidRPr="00C21FD8">
        <w:rPr>
          <w:b/>
          <w:bCs/>
        </w:rPr>
        <w:t>Proposal 1:</w:t>
      </w:r>
      <w:r>
        <w:t xml:space="preserve"> PC1.5 should not be used for </w:t>
      </w:r>
      <w:proofErr w:type="spellStart"/>
      <w:r>
        <w:t>TxD</w:t>
      </w:r>
      <w:proofErr w:type="spellEnd"/>
      <w:r>
        <w:t xml:space="preserve"> as the discussion is not finished in RAN4. Support for </w:t>
      </w:r>
      <w:proofErr w:type="spellStart"/>
      <w:r>
        <w:t>TxD</w:t>
      </w:r>
      <w:proofErr w:type="spellEnd"/>
      <w:r>
        <w:t xml:space="preserve"> can be added later if required.</w:t>
      </w:r>
    </w:p>
    <w:p w14:paraId="125E307D" w14:textId="69D360DD" w:rsidR="00807D88" w:rsidRDefault="00807D88" w:rsidP="00807D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 w:rsidRPr="00E27B6E">
        <w:rPr>
          <w:b/>
          <w:bCs/>
          <w:lang w:eastAsia="ja-JP" w:bidi="hi-IN"/>
        </w:rPr>
        <w:t>Proposal</w:t>
      </w:r>
      <w:r w:rsidR="00C21FD8">
        <w:rPr>
          <w:b/>
          <w:bCs/>
          <w:lang w:eastAsia="ja-JP" w:bidi="hi-IN"/>
        </w:rPr>
        <w:t xml:space="preserve"> 2</w:t>
      </w:r>
      <w:r w:rsidRPr="00E27B6E">
        <w:rPr>
          <w:b/>
          <w:bCs/>
          <w:lang w:eastAsia="ja-JP" w:bidi="hi-IN"/>
        </w:rPr>
        <w:t>:</w:t>
      </w:r>
      <w:r>
        <w:rPr>
          <w:lang w:eastAsia="ja-JP" w:bidi="hi-IN"/>
        </w:rPr>
        <w:t xml:space="preserve"> If improvements for power </w:t>
      </w:r>
      <w:proofErr w:type="spellStart"/>
      <w:r>
        <w:rPr>
          <w:lang w:eastAsia="ja-JP" w:bidi="hi-IN"/>
        </w:rPr>
        <w:t>backoff</w:t>
      </w:r>
      <w:proofErr w:type="spellEnd"/>
      <w:r>
        <w:rPr>
          <w:lang w:eastAsia="ja-JP" w:bidi="hi-IN"/>
        </w:rPr>
        <w:t xml:space="preserve"> are considered for n77 and n78 then the relevant measurement assumptions (</w:t>
      </w:r>
      <w:r w:rsidRPr="002F005D">
        <w:rPr>
          <w:lang w:eastAsia="ja-JP" w:bidi="hi-IN"/>
        </w:rPr>
        <w:t>Antenna isolations of 10 dB</w:t>
      </w:r>
      <w:r>
        <w:rPr>
          <w:lang w:eastAsia="ja-JP" w:bidi="hi-IN"/>
        </w:rPr>
        <w:t xml:space="preserve">, </w:t>
      </w:r>
      <w:r w:rsidRPr="002F005D">
        <w:rPr>
          <w:lang w:eastAsia="ja-JP" w:bidi="hi-IN"/>
        </w:rPr>
        <w:t>4 dB</w:t>
      </w:r>
      <w:r>
        <w:rPr>
          <w:lang w:eastAsia="ja-JP" w:bidi="hi-IN"/>
        </w:rPr>
        <w:t xml:space="preserve"> post PA loss and 26dBm Tx chains) shall be reused to obtain reliable results.</w:t>
      </w:r>
    </w:p>
    <w:p w14:paraId="05CC6F0A" w14:textId="694DEE39" w:rsidR="005E69AE" w:rsidRDefault="005E69AE" w:rsidP="0062595A">
      <w:pPr>
        <w:spacing w:after="0"/>
      </w:pP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77079825" w:rsidR="007F3A2A" w:rsidRPr="006F7CE5" w:rsidRDefault="005E5C88" w:rsidP="007F3A2A">
      <w:pPr>
        <w:numPr>
          <w:ilvl w:val="0"/>
          <w:numId w:val="11"/>
        </w:numPr>
        <w:rPr>
          <w:b/>
          <w:lang w:val="en-US"/>
        </w:rPr>
      </w:pPr>
      <w:r w:rsidRPr="005E5C88">
        <w:t>RP-202912</w:t>
      </w:r>
      <w:r w:rsidR="007F3A2A" w:rsidRPr="007F3A2A">
        <w:rPr>
          <w:lang w:val="en-US"/>
        </w:rPr>
        <w:t>, “</w:t>
      </w:r>
      <w:r w:rsidRPr="005E5C88">
        <w:rPr>
          <w:lang w:val="en-US"/>
        </w:rPr>
        <w:t xml:space="preserve">New WID on high-power devices operation use cases over Band n77 and n78 </w:t>
      </w:r>
      <w:r w:rsidR="007F3A2A" w:rsidRPr="007F3A2A">
        <w:rPr>
          <w:lang w:val="en-US"/>
        </w:rPr>
        <w:t xml:space="preserve">“, </w:t>
      </w:r>
      <w:r w:rsidRPr="005E5C88">
        <w:rPr>
          <w:lang w:val="en-US"/>
        </w:rPr>
        <w:t>3GPP TSG RAN Meeting #90e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881F1" w14:textId="77777777" w:rsidR="005B6C03" w:rsidRDefault="005B6C03">
      <w:r>
        <w:separator/>
      </w:r>
    </w:p>
  </w:endnote>
  <w:endnote w:type="continuationSeparator" w:id="0">
    <w:p w14:paraId="31066F9A" w14:textId="77777777" w:rsidR="005B6C03" w:rsidRDefault="005B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2D8E3" w14:textId="77777777" w:rsidR="005B6C03" w:rsidRDefault="005B6C03">
      <w:r>
        <w:separator/>
      </w:r>
    </w:p>
  </w:footnote>
  <w:footnote w:type="continuationSeparator" w:id="0">
    <w:p w14:paraId="1A7C247B" w14:textId="77777777" w:rsidR="005B6C03" w:rsidRDefault="005B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E0A8D"/>
    <w:multiLevelType w:val="hybridMultilevel"/>
    <w:tmpl w:val="D27EA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02405A"/>
    <w:multiLevelType w:val="hybridMultilevel"/>
    <w:tmpl w:val="AE1C10A6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EB2"/>
    <w:rsid w:val="00032EDA"/>
    <w:rsid w:val="00033397"/>
    <w:rsid w:val="0003447A"/>
    <w:rsid w:val="00035BDF"/>
    <w:rsid w:val="00036F6A"/>
    <w:rsid w:val="00037CC5"/>
    <w:rsid w:val="00040095"/>
    <w:rsid w:val="00051834"/>
    <w:rsid w:val="00052794"/>
    <w:rsid w:val="00054A22"/>
    <w:rsid w:val="00054E52"/>
    <w:rsid w:val="00061661"/>
    <w:rsid w:val="00062023"/>
    <w:rsid w:val="000655A6"/>
    <w:rsid w:val="00072004"/>
    <w:rsid w:val="00076E7B"/>
    <w:rsid w:val="00080512"/>
    <w:rsid w:val="00081A6D"/>
    <w:rsid w:val="00096C65"/>
    <w:rsid w:val="000A365D"/>
    <w:rsid w:val="000A530C"/>
    <w:rsid w:val="000A5CEA"/>
    <w:rsid w:val="000A68F3"/>
    <w:rsid w:val="000B350B"/>
    <w:rsid w:val="000C47C3"/>
    <w:rsid w:val="000D58AB"/>
    <w:rsid w:val="000F066E"/>
    <w:rsid w:val="001014EA"/>
    <w:rsid w:val="001032BC"/>
    <w:rsid w:val="00104BC6"/>
    <w:rsid w:val="001064E7"/>
    <w:rsid w:val="00107FB2"/>
    <w:rsid w:val="00114E2C"/>
    <w:rsid w:val="00126CA6"/>
    <w:rsid w:val="00133525"/>
    <w:rsid w:val="00141DDF"/>
    <w:rsid w:val="00161A9C"/>
    <w:rsid w:val="00164651"/>
    <w:rsid w:val="00173B76"/>
    <w:rsid w:val="00176C55"/>
    <w:rsid w:val="00177BF7"/>
    <w:rsid w:val="001940D3"/>
    <w:rsid w:val="001A4C42"/>
    <w:rsid w:val="001A4E68"/>
    <w:rsid w:val="001A6573"/>
    <w:rsid w:val="001B67CA"/>
    <w:rsid w:val="001C21C3"/>
    <w:rsid w:val="001C2FEA"/>
    <w:rsid w:val="001D02C2"/>
    <w:rsid w:val="001D03D7"/>
    <w:rsid w:val="001D7DBE"/>
    <w:rsid w:val="001E06B7"/>
    <w:rsid w:val="001F0C1D"/>
    <w:rsid w:val="001F1132"/>
    <w:rsid w:val="001F168B"/>
    <w:rsid w:val="001F6D59"/>
    <w:rsid w:val="001F7F82"/>
    <w:rsid w:val="00200328"/>
    <w:rsid w:val="00203852"/>
    <w:rsid w:val="00203F71"/>
    <w:rsid w:val="002124DC"/>
    <w:rsid w:val="002347A2"/>
    <w:rsid w:val="00247926"/>
    <w:rsid w:val="00251005"/>
    <w:rsid w:val="002675F0"/>
    <w:rsid w:val="00276EE4"/>
    <w:rsid w:val="002A493E"/>
    <w:rsid w:val="002A769C"/>
    <w:rsid w:val="002A79F8"/>
    <w:rsid w:val="002B1D7E"/>
    <w:rsid w:val="002B5C4E"/>
    <w:rsid w:val="002B6339"/>
    <w:rsid w:val="002B6DF9"/>
    <w:rsid w:val="002C6B80"/>
    <w:rsid w:val="002C7B3F"/>
    <w:rsid w:val="002D2E22"/>
    <w:rsid w:val="002D3BC5"/>
    <w:rsid w:val="002E00EE"/>
    <w:rsid w:val="002E07CC"/>
    <w:rsid w:val="002E4080"/>
    <w:rsid w:val="002F005D"/>
    <w:rsid w:val="002F6F2B"/>
    <w:rsid w:val="002F7647"/>
    <w:rsid w:val="00302805"/>
    <w:rsid w:val="00305920"/>
    <w:rsid w:val="00311013"/>
    <w:rsid w:val="003172DC"/>
    <w:rsid w:val="00323B17"/>
    <w:rsid w:val="00333929"/>
    <w:rsid w:val="00335709"/>
    <w:rsid w:val="003378AE"/>
    <w:rsid w:val="00340356"/>
    <w:rsid w:val="0034052F"/>
    <w:rsid w:val="0034422B"/>
    <w:rsid w:val="00347BF3"/>
    <w:rsid w:val="0035462D"/>
    <w:rsid w:val="00360AA9"/>
    <w:rsid w:val="00361696"/>
    <w:rsid w:val="00366EFA"/>
    <w:rsid w:val="003678A3"/>
    <w:rsid w:val="0037554F"/>
    <w:rsid w:val="003765B8"/>
    <w:rsid w:val="00383106"/>
    <w:rsid w:val="00387858"/>
    <w:rsid w:val="00392A00"/>
    <w:rsid w:val="003A0483"/>
    <w:rsid w:val="003B076D"/>
    <w:rsid w:val="003B3719"/>
    <w:rsid w:val="003B4A2F"/>
    <w:rsid w:val="003C3971"/>
    <w:rsid w:val="003C458E"/>
    <w:rsid w:val="003D487F"/>
    <w:rsid w:val="003D649C"/>
    <w:rsid w:val="003D7EFE"/>
    <w:rsid w:val="003E0648"/>
    <w:rsid w:val="003E1C53"/>
    <w:rsid w:val="003E390C"/>
    <w:rsid w:val="003E7753"/>
    <w:rsid w:val="004050EA"/>
    <w:rsid w:val="00410C74"/>
    <w:rsid w:val="004116EB"/>
    <w:rsid w:val="00415134"/>
    <w:rsid w:val="00423334"/>
    <w:rsid w:val="00424339"/>
    <w:rsid w:val="00434540"/>
    <w:rsid w:val="004345EC"/>
    <w:rsid w:val="0043541E"/>
    <w:rsid w:val="00443B1F"/>
    <w:rsid w:val="004509C1"/>
    <w:rsid w:val="00450B2E"/>
    <w:rsid w:val="00460045"/>
    <w:rsid w:val="004634D0"/>
    <w:rsid w:val="004640F5"/>
    <w:rsid w:val="0046489B"/>
    <w:rsid w:val="0047076F"/>
    <w:rsid w:val="00471049"/>
    <w:rsid w:val="00471735"/>
    <w:rsid w:val="00474AAB"/>
    <w:rsid w:val="004826A9"/>
    <w:rsid w:val="004837BD"/>
    <w:rsid w:val="00484657"/>
    <w:rsid w:val="00491ACC"/>
    <w:rsid w:val="00496011"/>
    <w:rsid w:val="00496ACE"/>
    <w:rsid w:val="004A22C7"/>
    <w:rsid w:val="004B6798"/>
    <w:rsid w:val="004C1601"/>
    <w:rsid w:val="004C3099"/>
    <w:rsid w:val="004C7B37"/>
    <w:rsid w:val="004D3578"/>
    <w:rsid w:val="004D4338"/>
    <w:rsid w:val="004E17C7"/>
    <w:rsid w:val="004E213A"/>
    <w:rsid w:val="004E2D77"/>
    <w:rsid w:val="004E7FD6"/>
    <w:rsid w:val="004F0988"/>
    <w:rsid w:val="004F29F1"/>
    <w:rsid w:val="004F3340"/>
    <w:rsid w:val="004F3E3D"/>
    <w:rsid w:val="00514815"/>
    <w:rsid w:val="0053388B"/>
    <w:rsid w:val="005345D1"/>
    <w:rsid w:val="00535773"/>
    <w:rsid w:val="0053790B"/>
    <w:rsid w:val="00537BFA"/>
    <w:rsid w:val="00543E6C"/>
    <w:rsid w:val="00554FE1"/>
    <w:rsid w:val="00555723"/>
    <w:rsid w:val="00560943"/>
    <w:rsid w:val="00561D97"/>
    <w:rsid w:val="00565087"/>
    <w:rsid w:val="00570ED1"/>
    <w:rsid w:val="0057261C"/>
    <w:rsid w:val="00572E14"/>
    <w:rsid w:val="005743C8"/>
    <w:rsid w:val="00580C3D"/>
    <w:rsid w:val="005837C8"/>
    <w:rsid w:val="005861FD"/>
    <w:rsid w:val="005973BE"/>
    <w:rsid w:val="005A0583"/>
    <w:rsid w:val="005A4164"/>
    <w:rsid w:val="005A5986"/>
    <w:rsid w:val="005A5D1C"/>
    <w:rsid w:val="005A7F03"/>
    <w:rsid w:val="005B6C03"/>
    <w:rsid w:val="005C5712"/>
    <w:rsid w:val="005C5EAF"/>
    <w:rsid w:val="005D0294"/>
    <w:rsid w:val="005D1D1A"/>
    <w:rsid w:val="005D2E01"/>
    <w:rsid w:val="005D5AE3"/>
    <w:rsid w:val="005D6E3E"/>
    <w:rsid w:val="005D7526"/>
    <w:rsid w:val="005E0188"/>
    <w:rsid w:val="005E1B49"/>
    <w:rsid w:val="005E5C88"/>
    <w:rsid w:val="005E69AE"/>
    <w:rsid w:val="005F6F36"/>
    <w:rsid w:val="00602AEA"/>
    <w:rsid w:val="00607E3C"/>
    <w:rsid w:val="00610107"/>
    <w:rsid w:val="0061146F"/>
    <w:rsid w:val="00614FDF"/>
    <w:rsid w:val="006212AD"/>
    <w:rsid w:val="006246A7"/>
    <w:rsid w:val="0062595A"/>
    <w:rsid w:val="0063543D"/>
    <w:rsid w:val="006432CB"/>
    <w:rsid w:val="00645891"/>
    <w:rsid w:val="00647114"/>
    <w:rsid w:val="00650C78"/>
    <w:rsid w:val="0065271E"/>
    <w:rsid w:val="0065577E"/>
    <w:rsid w:val="0066115B"/>
    <w:rsid w:val="00661381"/>
    <w:rsid w:val="00677B76"/>
    <w:rsid w:val="006974B3"/>
    <w:rsid w:val="006A2D0C"/>
    <w:rsid w:val="006A323F"/>
    <w:rsid w:val="006B30D0"/>
    <w:rsid w:val="006C29A3"/>
    <w:rsid w:val="006C3B46"/>
    <w:rsid w:val="006C3D95"/>
    <w:rsid w:val="006C7B00"/>
    <w:rsid w:val="006D0467"/>
    <w:rsid w:val="006D77D7"/>
    <w:rsid w:val="006E1889"/>
    <w:rsid w:val="006E5C86"/>
    <w:rsid w:val="006F1FC9"/>
    <w:rsid w:val="006F7CE5"/>
    <w:rsid w:val="00713C44"/>
    <w:rsid w:val="0071576F"/>
    <w:rsid w:val="00723101"/>
    <w:rsid w:val="007237B7"/>
    <w:rsid w:val="00724089"/>
    <w:rsid w:val="00730E94"/>
    <w:rsid w:val="00730ED4"/>
    <w:rsid w:val="00730F73"/>
    <w:rsid w:val="00734206"/>
    <w:rsid w:val="00734A5B"/>
    <w:rsid w:val="0074026F"/>
    <w:rsid w:val="007429F6"/>
    <w:rsid w:val="00744E76"/>
    <w:rsid w:val="0074525F"/>
    <w:rsid w:val="00745434"/>
    <w:rsid w:val="00752198"/>
    <w:rsid w:val="00753881"/>
    <w:rsid w:val="00755E78"/>
    <w:rsid w:val="00756C8C"/>
    <w:rsid w:val="00761D68"/>
    <w:rsid w:val="007637C4"/>
    <w:rsid w:val="007660BB"/>
    <w:rsid w:val="00771457"/>
    <w:rsid w:val="00774DA4"/>
    <w:rsid w:val="00777909"/>
    <w:rsid w:val="00781F0F"/>
    <w:rsid w:val="00792C7A"/>
    <w:rsid w:val="0079785A"/>
    <w:rsid w:val="007A491F"/>
    <w:rsid w:val="007B600E"/>
    <w:rsid w:val="007C2E33"/>
    <w:rsid w:val="007C5B26"/>
    <w:rsid w:val="007C7952"/>
    <w:rsid w:val="007D34C1"/>
    <w:rsid w:val="007F0F4A"/>
    <w:rsid w:val="007F3A2A"/>
    <w:rsid w:val="008028A4"/>
    <w:rsid w:val="00807D88"/>
    <w:rsid w:val="00812481"/>
    <w:rsid w:val="00820B25"/>
    <w:rsid w:val="00826D83"/>
    <w:rsid w:val="00830747"/>
    <w:rsid w:val="0083542B"/>
    <w:rsid w:val="00837FDF"/>
    <w:rsid w:val="00855283"/>
    <w:rsid w:val="00864223"/>
    <w:rsid w:val="008768CA"/>
    <w:rsid w:val="008974F7"/>
    <w:rsid w:val="008A093A"/>
    <w:rsid w:val="008A4747"/>
    <w:rsid w:val="008C06C2"/>
    <w:rsid w:val="008C2A97"/>
    <w:rsid w:val="008C384C"/>
    <w:rsid w:val="008C45AE"/>
    <w:rsid w:val="008C7D6B"/>
    <w:rsid w:val="008E7986"/>
    <w:rsid w:val="008F2044"/>
    <w:rsid w:val="0090271F"/>
    <w:rsid w:val="00902E23"/>
    <w:rsid w:val="00903EF6"/>
    <w:rsid w:val="009114D7"/>
    <w:rsid w:val="0091348E"/>
    <w:rsid w:val="00917CCB"/>
    <w:rsid w:val="00920AF7"/>
    <w:rsid w:val="00922D89"/>
    <w:rsid w:val="009266A0"/>
    <w:rsid w:val="009338EA"/>
    <w:rsid w:val="00936F86"/>
    <w:rsid w:val="00940D43"/>
    <w:rsid w:val="00942EC2"/>
    <w:rsid w:val="00945B01"/>
    <w:rsid w:val="00947BE2"/>
    <w:rsid w:val="009516F6"/>
    <w:rsid w:val="00957DE8"/>
    <w:rsid w:val="009633B2"/>
    <w:rsid w:val="0096388D"/>
    <w:rsid w:val="009860B5"/>
    <w:rsid w:val="0099327F"/>
    <w:rsid w:val="00993BA7"/>
    <w:rsid w:val="00994F73"/>
    <w:rsid w:val="009A3B6B"/>
    <w:rsid w:val="009B3C6C"/>
    <w:rsid w:val="009B56FF"/>
    <w:rsid w:val="009C067E"/>
    <w:rsid w:val="009C2C1B"/>
    <w:rsid w:val="009D246A"/>
    <w:rsid w:val="009E0C85"/>
    <w:rsid w:val="009E7750"/>
    <w:rsid w:val="009F1A90"/>
    <w:rsid w:val="009F2B51"/>
    <w:rsid w:val="009F37B7"/>
    <w:rsid w:val="009F4186"/>
    <w:rsid w:val="009F5E43"/>
    <w:rsid w:val="00A10F02"/>
    <w:rsid w:val="00A15BD4"/>
    <w:rsid w:val="00A164B4"/>
    <w:rsid w:val="00A200FA"/>
    <w:rsid w:val="00A22D17"/>
    <w:rsid w:val="00A2341D"/>
    <w:rsid w:val="00A2361D"/>
    <w:rsid w:val="00A26956"/>
    <w:rsid w:val="00A309A6"/>
    <w:rsid w:val="00A53724"/>
    <w:rsid w:val="00A60200"/>
    <w:rsid w:val="00A65D22"/>
    <w:rsid w:val="00A70B96"/>
    <w:rsid w:val="00A73129"/>
    <w:rsid w:val="00A815F8"/>
    <w:rsid w:val="00A82346"/>
    <w:rsid w:val="00A84761"/>
    <w:rsid w:val="00A90AB9"/>
    <w:rsid w:val="00A91526"/>
    <w:rsid w:val="00A92BA1"/>
    <w:rsid w:val="00AA1E5C"/>
    <w:rsid w:val="00AB0E32"/>
    <w:rsid w:val="00AB2D85"/>
    <w:rsid w:val="00AB6DF1"/>
    <w:rsid w:val="00AC6BC6"/>
    <w:rsid w:val="00AD4E3B"/>
    <w:rsid w:val="00AE3797"/>
    <w:rsid w:val="00AF4E68"/>
    <w:rsid w:val="00B02C90"/>
    <w:rsid w:val="00B036C2"/>
    <w:rsid w:val="00B04944"/>
    <w:rsid w:val="00B055D4"/>
    <w:rsid w:val="00B15449"/>
    <w:rsid w:val="00B15899"/>
    <w:rsid w:val="00B162FF"/>
    <w:rsid w:val="00B2388D"/>
    <w:rsid w:val="00B23FC5"/>
    <w:rsid w:val="00B312F2"/>
    <w:rsid w:val="00B31AF8"/>
    <w:rsid w:val="00B31CB6"/>
    <w:rsid w:val="00B3313E"/>
    <w:rsid w:val="00B35701"/>
    <w:rsid w:val="00B40473"/>
    <w:rsid w:val="00B40A30"/>
    <w:rsid w:val="00B42610"/>
    <w:rsid w:val="00B4623E"/>
    <w:rsid w:val="00B5091E"/>
    <w:rsid w:val="00B5799A"/>
    <w:rsid w:val="00B60143"/>
    <w:rsid w:val="00B62D92"/>
    <w:rsid w:val="00B64332"/>
    <w:rsid w:val="00B74C05"/>
    <w:rsid w:val="00B9159B"/>
    <w:rsid w:val="00B92E6B"/>
    <w:rsid w:val="00B93086"/>
    <w:rsid w:val="00B94827"/>
    <w:rsid w:val="00B97442"/>
    <w:rsid w:val="00BA19ED"/>
    <w:rsid w:val="00BA300B"/>
    <w:rsid w:val="00BA4B8D"/>
    <w:rsid w:val="00BB024F"/>
    <w:rsid w:val="00BB4783"/>
    <w:rsid w:val="00BC0F7D"/>
    <w:rsid w:val="00BC1C56"/>
    <w:rsid w:val="00BC371B"/>
    <w:rsid w:val="00BC4B89"/>
    <w:rsid w:val="00BD0B2C"/>
    <w:rsid w:val="00BD4E0C"/>
    <w:rsid w:val="00BE3255"/>
    <w:rsid w:val="00BE6B90"/>
    <w:rsid w:val="00BE7E14"/>
    <w:rsid w:val="00BF128E"/>
    <w:rsid w:val="00BF16AD"/>
    <w:rsid w:val="00C07DD1"/>
    <w:rsid w:val="00C1496A"/>
    <w:rsid w:val="00C15F1C"/>
    <w:rsid w:val="00C21FD8"/>
    <w:rsid w:val="00C33079"/>
    <w:rsid w:val="00C37413"/>
    <w:rsid w:val="00C45231"/>
    <w:rsid w:val="00C4537F"/>
    <w:rsid w:val="00C61D1C"/>
    <w:rsid w:val="00C67FA4"/>
    <w:rsid w:val="00C72833"/>
    <w:rsid w:val="00C72CC0"/>
    <w:rsid w:val="00C77A30"/>
    <w:rsid w:val="00C77C78"/>
    <w:rsid w:val="00C80F1D"/>
    <w:rsid w:val="00C81A25"/>
    <w:rsid w:val="00C857B6"/>
    <w:rsid w:val="00C907E8"/>
    <w:rsid w:val="00C93F40"/>
    <w:rsid w:val="00C9406B"/>
    <w:rsid w:val="00CA3D0C"/>
    <w:rsid w:val="00CB3AB8"/>
    <w:rsid w:val="00CD07C6"/>
    <w:rsid w:val="00CD78CC"/>
    <w:rsid w:val="00CF20E3"/>
    <w:rsid w:val="00CF2F3C"/>
    <w:rsid w:val="00CF5E76"/>
    <w:rsid w:val="00D04091"/>
    <w:rsid w:val="00D10D66"/>
    <w:rsid w:val="00D131EC"/>
    <w:rsid w:val="00D15BBA"/>
    <w:rsid w:val="00D309CC"/>
    <w:rsid w:val="00D414E1"/>
    <w:rsid w:val="00D463FE"/>
    <w:rsid w:val="00D46431"/>
    <w:rsid w:val="00D468B9"/>
    <w:rsid w:val="00D46EDF"/>
    <w:rsid w:val="00D56A52"/>
    <w:rsid w:val="00D57972"/>
    <w:rsid w:val="00D65F45"/>
    <w:rsid w:val="00D675A9"/>
    <w:rsid w:val="00D738D6"/>
    <w:rsid w:val="00D755EB"/>
    <w:rsid w:val="00D801E0"/>
    <w:rsid w:val="00D813B1"/>
    <w:rsid w:val="00D81631"/>
    <w:rsid w:val="00D84260"/>
    <w:rsid w:val="00D8519E"/>
    <w:rsid w:val="00D87E00"/>
    <w:rsid w:val="00D907F9"/>
    <w:rsid w:val="00D9134D"/>
    <w:rsid w:val="00D914D0"/>
    <w:rsid w:val="00D93120"/>
    <w:rsid w:val="00D947CD"/>
    <w:rsid w:val="00DA116B"/>
    <w:rsid w:val="00DA7A03"/>
    <w:rsid w:val="00DB12EC"/>
    <w:rsid w:val="00DB1818"/>
    <w:rsid w:val="00DC309B"/>
    <w:rsid w:val="00DC4DA2"/>
    <w:rsid w:val="00DD4C17"/>
    <w:rsid w:val="00DD5B05"/>
    <w:rsid w:val="00DD5D25"/>
    <w:rsid w:val="00DD7CE4"/>
    <w:rsid w:val="00DF2B1F"/>
    <w:rsid w:val="00DF6189"/>
    <w:rsid w:val="00DF62CD"/>
    <w:rsid w:val="00DF6CB3"/>
    <w:rsid w:val="00E022DB"/>
    <w:rsid w:val="00E02DA6"/>
    <w:rsid w:val="00E033B1"/>
    <w:rsid w:val="00E03895"/>
    <w:rsid w:val="00E057D0"/>
    <w:rsid w:val="00E06ECF"/>
    <w:rsid w:val="00E13876"/>
    <w:rsid w:val="00E16509"/>
    <w:rsid w:val="00E168E8"/>
    <w:rsid w:val="00E2397C"/>
    <w:rsid w:val="00E27B6E"/>
    <w:rsid w:val="00E341F7"/>
    <w:rsid w:val="00E34C44"/>
    <w:rsid w:val="00E4054F"/>
    <w:rsid w:val="00E44582"/>
    <w:rsid w:val="00E507ED"/>
    <w:rsid w:val="00E51F83"/>
    <w:rsid w:val="00E52814"/>
    <w:rsid w:val="00E53182"/>
    <w:rsid w:val="00E542BC"/>
    <w:rsid w:val="00E5541B"/>
    <w:rsid w:val="00E562D5"/>
    <w:rsid w:val="00E6069D"/>
    <w:rsid w:val="00E65AAE"/>
    <w:rsid w:val="00E72324"/>
    <w:rsid w:val="00E72ABE"/>
    <w:rsid w:val="00E75C1B"/>
    <w:rsid w:val="00E76BD1"/>
    <w:rsid w:val="00E76D57"/>
    <w:rsid w:val="00E77364"/>
    <w:rsid w:val="00E77645"/>
    <w:rsid w:val="00E80DE4"/>
    <w:rsid w:val="00E91C9A"/>
    <w:rsid w:val="00E92F48"/>
    <w:rsid w:val="00EA6749"/>
    <w:rsid w:val="00EB22F4"/>
    <w:rsid w:val="00EC3517"/>
    <w:rsid w:val="00EC4A25"/>
    <w:rsid w:val="00EC6B55"/>
    <w:rsid w:val="00EC7900"/>
    <w:rsid w:val="00ED03E6"/>
    <w:rsid w:val="00ED0967"/>
    <w:rsid w:val="00ED6AD4"/>
    <w:rsid w:val="00EE5AA7"/>
    <w:rsid w:val="00F015A4"/>
    <w:rsid w:val="00F025A2"/>
    <w:rsid w:val="00F04712"/>
    <w:rsid w:val="00F06786"/>
    <w:rsid w:val="00F139D9"/>
    <w:rsid w:val="00F16143"/>
    <w:rsid w:val="00F21311"/>
    <w:rsid w:val="00F22EC7"/>
    <w:rsid w:val="00F273D3"/>
    <w:rsid w:val="00F27CC9"/>
    <w:rsid w:val="00F314DF"/>
    <w:rsid w:val="00F325C8"/>
    <w:rsid w:val="00F369DD"/>
    <w:rsid w:val="00F37626"/>
    <w:rsid w:val="00F44AA2"/>
    <w:rsid w:val="00F44E4C"/>
    <w:rsid w:val="00F50255"/>
    <w:rsid w:val="00F50F0D"/>
    <w:rsid w:val="00F614AC"/>
    <w:rsid w:val="00F62AEB"/>
    <w:rsid w:val="00F65292"/>
    <w:rsid w:val="00F653B8"/>
    <w:rsid w:val="00F655F3"/>
    <w:rsid w:val="00F70647"/>
    <w:rsid w:val="00F7204E"/>
    <w:rsid w:val="00F73852"/>
    <w:rsid w:val="00F852FA"/>
    <w:rsid w:val="00F8688A"/>
    <w:rsid w:val="00F9377C"/>
    <w:rsid w:val="00F95EDB"/>
    <w:rsid w:val="00F960C2"/>
    <w:rsid w:val="00F96804"/>
    <w:rsid w:val="00F97D2F"/>
    <w:rsid w:val="00FA0DFF"/>
    <w:rsid w:val="00FA1266"/>
    <w:rsid w:val="00FA24D2"/>
    <w:rsid w:val="00FA7625"/>
    <w:rsid w:val="00FA77A1"/>
    <w:rsid w:val="00FB03C5"/>
    <w:rsid w:val="00FC1192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76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9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1366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224</cp:revision>
  <cp:lastPrinted>2019-02-25T14:05:00Z</cp:lastPrinted>
  <dcterms:created xsi:type="dcterms:W3CDTF">2020-02-11T14:49:00Z</dcterms:created>
  <dcterms:modified xsi:type="dcterms:W3CDTF">2021-01-15T19:08:00Z</dcterms:modified>
  <cp:category/>
</cp:coreProperties>
</file>